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CellSpacing w:w="0" w:type="dxa"/>
        <w:shd w:val="clear" w:color="auto" w:fill="FFFFFF"/>
        <w:tblCellMar>
          <w:left w:w="0" w:type="dxa"/>
          <w:right w:w="0" w:type="dxa"/>
        </w:tblCellMar>
        <w:tblLook w:val="04A0"/>
      </w:tblPr>
      <w:tblGrid>
        <w:gridCol w:w="2988"/>
        <w:gridCol w:w="6120"/>
      </w:tblGrid>
      <w:tr w:rsidR="00347D1B" w:rsidRPr="00347D1B" w:rsidTr="00347D1B">
        <w:trPr>
          <w:trHeight w:val="381"/>
          <w:tblCellSpacing w:w="0" w:type="dxa"/>
        </w:trPr>
        <w:tc>
          <w:tcPr>
            <w:tcW w:w="2988" w:type="dxa"/>
            <w:shd w:val="clear" w:color="auto" w:fill="FFFFFF"/>
            <w:tcMar>
              <w:top w:w="0" w:type="dxa"/>
              <w:left w:w="108" w:type="dxa"/>
              <w:bottom w:w="0" w:type="dxa"/>
              <w:right w:w="108" w:type="dxa"/>
            </w:tcMar>
            <w:hideMark/>
          </w:tcPr>
          <w:p w:rsidR="00347D1B" w:rsidRPr="00347D1B" w:rsidRDefault="00347D1B" w:rsidP="00347D1B">
            <w:pPr>
              <w:spacing w:before="120" w:after="0" w:line="187" w:lineRule="atLeast"/>
              <w:jc w:val="center"/>
              <w:rPr>
                <w:rFonts w:ascii="Times New Roman" w:eastAsia="Times New Roman" w:hAnsi="Times New Roman" w:cs="Times New Roman"/>
                <w:color w:val="000000"/>
                <w:sz w:val="28"/>
                <w:szCs w:val="28"/>
              </w:rPr>
            </w:pPr>
            <w:r w:rsidRPr="00347D1B">
              <w:rPr>
                <w:rFonts w:ascii="Times New Roman" w:eastAsia="Times New Roman" w:hAnsi="Times New Roman" w:cs="Times New Roman"/>
                <w:b/>
                <w:bCs/>
                <w:color w:val="000000"/>
                <w:sz w:val="28"/>
                <w:szCs w:val="28"/>
              </w:rPr>
              <w:t>CHÍNH PHỦ </w:t>
            </w:r>
            <w:r w:rsidRPr="00347D1B">
              <w:rPr>
                <w:rFonts w:ascii="Times New Roman" w:eastAsia="Times New Roman" w:hAnsi="Times New Roman" w:cs="Times New Roman"/>
                <w:b/>
                <w:bCs/>
                <w:color w:val="000000"/>
                <w:sz w:val="28"/>
                <w:szCs w:val="28"/>
              </w:rPr>
              <w:br/>
              <w:t>-------</w:t>
            </w:r>
          </w:p>
        </w:tc>
        <w:tc>
          <w:tcPr>
            <w:tcW w:w="6120" w:type="dxa"/>
            <w:shd w:val="clear" w:color="auto" w:fill="FFFFFF"/>
            <w:tcMar>
              <w:top w:w="0" w:type="dxa"/>
              <w:left w:w="108" w:type="dxa"/>
              <w:bottom w:w="0" w:type="dxa"/>
              <w:right w:w="108" w:type="dxa"/>
            </w:tcMar>
            <w:hideMark/>
          </w:tcPr>
          <w:p w:rsidR="00347D1B" w:rsidRPr="00347D1B" w:rsidRDefault="00347D1B" w:rsidP="00347D1B">
            <w:pPr>
              <w:spacing w:before="120" w:after="0" w:line="187" w:lineRule="atLeast"/>
              <w:jc w:val="center"/>
              <w:rPr>
                <w:rFonts w:ascii="Times New Roman" w:eastAsia="Times New Roman" w:hAnsi="Times New Roman" w:cs="Times New Roman"/>
                <w:color w:val="000000"/>
                <w:sz w:val="28"/>
                <w:szCs w:val="28"/>
              </w:rPr>
            </w:pPr>
            <w:r w:rsidRPr="00347D1B">
              <w:rPr>
                <w:rFonts w:ascii="Times New Roman" w:eastAsia="Times New Roman" w:hAnsi="Times New Roman" w:cs="Times New Roman"/>
                <w:b/>
                <w:bCs/>
                <w:color w:val="000000"/>
                <w:sz w:val="28"/>
                <w:szCs w:val="28"/>
              </w:rPr>
              <w:t>CỘNG HÒA XÃ HỘI CHỦ NGHĨA VIỆT NAM</w:t>
            </w:r>
            <w:r w:rsidRPr="00347D1B">
              <w:rPr>
                <w:rFonts w:ascii="Times New Roman" w:eastAsia="Times New Roman" w:hAnsi="Times New Roman" w:cs="Times New Roman"/>
                <w:b/>
                <w:bCs/>
                <w:color w:val="000000"/>
                <w:sz w:val="28"/>
                <w:szCs w:val="28"/>
              </w:rPr>
              <w:br/>
              <w:t>Độc lập – Tự do – Hạnh phúc</w:t>
            </w:r>
            <w:r w:rsidRPr="00347D1B">
              <w:rPr>
                <w:rFonts w:ascii="Times New Roman" w:eastAsia="Times New Roman" w:hAnsi="Times New Roman" w:cs="Times New Roman"/>
                <w:b/>
                <w:bCs/>
                <w:color w:val="000000"/>
                <w:sz w:val="28"/>
                <w:szCs w:val="28"/>
              </w:rPr>
              <w:br/>
              <w:t>--------------</w:t>
            </w:r>
          </w:p>
        </w:tc>
      </w:tr>
      <w:tr w:rsidR="00347D1B" w:rsidRPr="00347D1B" w:rsidTr="00347D1B">
        <w:trPr>
          <w:trHeight w:val="165"/>
          <w:tblCellSpacing w:w="0" w:type="dxa"/>
        </w:trPr>
        <w:tc>
          <w:tcPr>
            <w:tcW w:w="2988" w:type="dxa"/>
            <w:shd w:val="clear" w:color="auto" w:fill="FFFFFF"/>
            <w:tcMar>
              <w:top w:w="0" w:type="dxa"/>
              <w:left w:w="108" w:type="dxa"/>
              <w:bottom w:w="0" w:type="dxa"/>
              <w:right w:w="108" w:type="dxa"/>
            </w:tcMar>
            <w:hideMark/>
          </w:tcPr>
          <w:p w:rsidR="00347D1B" w:rsidRPr="00347D1B" w:rsidRDefault="00347D1B" w:rsidP="00347D1B">
            <w:pPr>
              <w:spacing w:before="120" w:after="0" w:line="187" w:lineRule="atLeast"/>
              <w:jc w:val="center"/>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Số: 150/2013/NĐ-CP</w:t>
            </w:r>
          </w:p>
        </w:tc>
        <w:tc>
          <w:tcPr>
            <w:tcW w:w="6120" w:type="dxa"/>
            <w:shd w:val="clear" w:color="auto" w:fill="FFFFFF"/>
            <w:tcMar>
              <w:top w:w="0" w:type="dxa"/>
              <w:left w:w="108" w:type="dxa"/>
              <w:bottom w:w="0" w:type="dxa"/>
              <w:right w:w="108" w:type="dxa"/>
            </w:tcMar>
            <w:hideMark/>
          </w:tcPr>
          <w:p w:rsidR="00347D1B" w:rsidRPr="00347D1B" w:rsidRDefault="00347D1B" w:rsidP="00347D1B">
            <w:pPr>
              <w:spacing w:before="120" w:after="0" w:line="187" w:lineRule="atLeast"/>
              <w:jc w:val="right"/>
              <w:rPr>
                <w:rFonts w:ascii="Times New Roman" w:eastAsia="Times New Roman" w:hAnsi="Times New Roman" w:cs="Times New Roman"/>
                <w:color w:val="000000"/>
                <w:sz w:val="28"/>
                <w:szCs w:val="28"/>
              </w:rPr>
            </w:pPr>
            <w:r w:rsidRPr="00347D1B">
              <w:rPr>
                <w:rFonts w:ascii="Times New Roman" w:eastAsia="Times New Roman" w:hAnsi="Times New Roman" w:cs="Times New Roman"/>
                <w:i/>
                <w:iCs/>
                <w:color w:val="000000"/>
                <w:sz w:val="28"/>
                <w:szCs w:val="28"/>
              </w:rPr>
              <w:t>Hà Nội, ngày 01 tháng 11 năm 2013</w:t>
            </w:r>
          </w:p>
        </w:tc>
      </w:tr>
    </w:tbl>
    <w:p w:rsidR="00347D1B" w:rsidRPr="00347D1B" w:rsidRDefault="00347D1B" w:rsidP="00347D1B">
      <w:pPr>
        <w:shd w:val="clear" w:color="auto" w:fill="FFFFFF"/>
        <w:spacing w:before="120" w:after="0" w:line="187" w:lineRule="atLeast"/>
        <w:jc w:val="center"/>
        <w:rPr>
          <w:rFonts w:ascii="Times New Roman" w:eastAsia="Times New Roman" w:hAnsi="Times New Roman" w:cs="Times New Roman"/>
          <w:color w:val="000000"/>
          <w:sz w:val="28"/>
          <w:szCs w:val="28"/>
        </w:rPr>
      </w:pPr>
      <w:r w:rsidRPr="00347D1B">
        <w:rPr>
          <w:rFonts w:ascii="Times New Roman" w:eastAsia="Times New Roman" w:hAnsi="Times New Roman" w:cs="Times New Roman"/>
          <w:b/>
          <w:bCs/>
          <w:color w:val="000000"/>
          <w:sz w:val="28"/>
          <w:szCs w:val="28"/>
        </w:rPr>
        <w:t> </w:t>
      </w:r>
    </w:p>
    <w:p w:rsidR="00347D1B" w:rsidRPr="00347D1B" w:rsidRDefault="00347D1B" w:rsidP="00347D1B">
      <w:pPr>
        <w:shd w:val="clear" w:color="auto" w:fill="FFFFFF"/>
        <w:spacing w:before="120" w:after="0" w:line="187" w:lineRule="atLeast"/>
        <w:jc w:val="center"/>
        <w:rPr>
          <w:rFonts w:ascii="Times New Roman" w:eastAsia="Times New Roman" w:hAnsi="Times New Roman" w:cs="Times New Roman"/>
          <w:color w:val="000000"/>
          <w:sz w:val="28"/>
          <w:szCs w:val="28"/>
        </w:rPr>
      </w:pPr>
      <w:r w:rsidRPr="00347D1B">
        <w:rPr>
          <w:rFonts w:ascii="Times New Roman" w:eastAsia="Times New Roman" w:hAnsi="Times New Roman" w:cs="Times New Roman"/>
          <w:b/>
          <w:bCs/>
          <w:color w:val="000000"/>
          <w:sz w:val="28"/>
          <w:szCs w:val="28"/>
        </w:rPr>
        <w:t>NGHỊ ĐỊNH</w:t>
      </w:r>
    </w:p>
    <w:p w:rsidR="00347D1B" w:rsidRPr="00347D1B" w:rsidRDefault="00347D1B" w:rsidP="00347D1B">
      <w:pPr>
        <w:shd w:val="clear" w:color="auto" w:fill="FFFFFF"/>
        <w:spacing w:after="0" w:line="187" w:lineRule="atLeast"/>
        <w:jc w:val="center"/>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SỬA ĐỔI, BỔ SUNG MỘT SỐ ĐIỀU CỦA NGHỊ ĐỊNH SỐ </w:t>
      </w:r>
      <w:hyperlink r:id="rId4" w:tgtFrame="_blank" w:history="1">
        <w:r w:rsidRPr="00347D1B">
          <w:rPr>
            <w:rFonts w:ascii="Times New Roman" w:eastAsia="Times New Roman" w:hAnsi="Times New Roman" w:cs="Times New Roman"/>
            <w:color w:val="0E70C3"/>
            <w:sz w:val="28"/>
            <w:szCs w:val="28"/>
          </w:rPr>
          <w:t>158/2007/NĐ-CP</w:t>
        </w:r>
      </w:hyperlink>
      <w:r w:rsidRPr="00347D1B">
        <w:rPr>
          <w:rFonts w:ascii="Times New Roman" w:eastAsia="Times New Roman" w:hAnsi="Times New Roman" w:cs="Times New Roman"/>
          <w:color w:val="000000"/>
          <w:sz w:val="28"/>
          <w:szCs w:val="28"/>
        </w:rPr>
        <w:t> NGÀY 27 HÁNG 10 NĂM 2007 CỦA CHÍNH PHỦ QUY ĐỊNH DANH MỤC CÁC VỊ TRÍ CÔNG TÁC VÀ THỜI HẠN ĐỊNH KỲ CHUYỂN ĐỔI VỊ TRÍ CÔNG TÁC ĐỐI VỚI CÁN BỘ, CÔNG CHỨC, VIÊN CHỨC</w:t>
      </w:r>
    </w:p>
    <w:p w:rsidR="00347D1B" w:rsidRDefault="00347D1B" w:rsidP="00347D1B">
      <w:pPr>
        <w:shd w:val="clear" w:color="auto" w:fill="FFFFFF"/>
        <w:spacing w:before="120" w:after="0" w:line="187" w:lineRule="atLeast"/>
        <w:ind w:firstLine="630"/>
        <w:jc w:val="both"/>
        <w:rPr>
          <w:rFonts w:ascii="Times New Roman" w:eastAsia="Times New Roman" w:hAnsi="Times New Roman" w:cs="Times New Roman"/>
          <w:iCs/>
          <w:color w:val="000000"/>
          <w:sz w:val="28"/>
          <w:szCs w:val="28"/>
        </w:rPr>
      </w:pP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iCs/>
          <w:color w:val="000000"/>
          <w:sz w:val="28"/>
          <w:szCs w:val="28"/>
        </w:rPr>
        <w:t>Căn cứ Luật Tổ chức Chính phủ ngày 25 tháng 12 năm 2001;</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iCs/>
          <w:color w:val="000000"/>
          <w:sz w:val="28"/>
          <w:szCs w:val="28"/>
        </w:rPr>
        <w:t>Căn cứ Luật phòng, chống tham nhũng số 55/2005/QH11 đã được sửa đổi, bổ sung một số điều theo Luật số 01/2007/QH12 và Luật số 27/2012/QH13;</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iCs/>
          <w:color w:val="000000"/>
          <w:sz w:val="28"/>
          <w:szCs w:val="28"/>
        </w:rPr>
        <w:t>Căn cứ Luật Cán bộ, công chức ngày 13 tháng 11 năm 2008;</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iCs/>
          <w:color w:val="000000"/>
          <w:sz w:val="28"/>
          <w:szCs w:val="28"/>
        </w:rPr>
        <w:t>Căn cứ Luật Viên chức ngày 15 tháng 11 năm 2010;</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iCs/>
          <w:color w:val="000000"/>
          <w:sz w:val="28"/>
          <w:szCs w:val="28"/>
        </w:rPr>
        <w:t>Theo đề nghị của Bộ trưởng Bộ Nội vụ,</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iCs/>
          <w:color w:val="000000"/>
          <w:sz w:val="28"/>
          <w:szCs w:val="28"/>
        </w:rPr>
        <w:t>Chính phủ ban hành Nghị định sửa đổi, bổ sung một số điều của Nghị định số </w:t>
      </w:r>
      <w:hyperlink r:id="rId5" w:tgtFrame="_blank" w:history="1">
        <w:r w:rsidRPr="00347D1B">
          <w:rPr>
            <w:rFonts w:ascii="Times New Roman" w:eastAsia="Times New Roman" w:hAnsi="Times New Roman" w:cs="Times New Roman"/>
            <w:iCs/>
            <w:color w:val="0E70C3"/>
            <w:sz w:val="28"/>
            <w:szCs w:val="28"/>
          </w:rPr>
          <w:t>158/2007/NĐ-CP</w:t>
        </w:r>
      </w:hyperlink>
      <w:r w:rsidRPr="00347D1B">
        <w:rPr>
          <w:rFonts w:ascii="Times New Roman" w:eastAsia="Times New Roman" w:hAnsi="Times New Roman" w:cs="Times New Roman"/>
          <w:iCs/>
          <w:color w:val="000000"/>
          <w:sz w:val="28"/>
          <w:szCs w:val="28"/>
        </w:rPr>
        <w:t>ngày 27 tháng 10 năm 2007 của Chính phủ quy định danh mục các vị trí công tác và thời hạn định kỳ chuyển đổi vị trí công tác đối với cán bộ, công chức, viên chức.</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b/>
          <w:bCs/>
          <w:color w:val="000000"/>
          <w:sz w:val="28"/>
          <w:szCs w:val="28"/>
        </w:rPr>
        <w:t>Điều 1. Sửa đổi, bổ sung một số điều của Nghị định số </w:t>
      </w:r>
      <w:hyperlink r:id="rId6" w:tgtFrame="_blank" w:history="1">
        <w:r w:rsidRPr="00347D1B">
          <w:rPr>
            <w:rFonts w:ascii="Times New Roman" w:eastAsia="Times New Roman" w:hAnsi="Times New Roman" w:cs="Times New Roman"/>
            <w:b/>
            <w:bCs/>
            <w:color w:val="0E70C3"/>
            <w:sz w:val="28"/>
            <w:szCs w:val="28"/>
          </w:rPr>
          <w:t>158/2007/NĐ-CP</w:t>
        </w:r>
      </w:hyperlink>
      <w:r w:rsidRPr="00347D1B">
        <w:rPr>
          <w:rFonts w:ascii="Times New Roman" w:eastAsia="Times New Roman" w:hAnsi="Times New Roman" w:cs="Times New Roman"/>
          <w:b/>
          <w:bCs/>
          <w:color w:val="000000"/>
          <w:sz w:val="28"/>
          <w:szCs w:val="28"/>
        </w:rPr>
        <w:t> ngày 27 tháng 10 năm 2007 của Chính phủ quy định danh mục các vị trí công tác và thời hạn định kỳ chuyển đổi vị trí công tác đối với cán bộ, công chức, viên chức, như sau:</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1. </w:t>
      </w:r>
      <w:bookmarkStart w:id="0" w:name="dc_1"/>
      <w:r w:rsidRPr="00347D1B">
        <w:rPr>
          <w:rFonts w:ascii="Times New Roman" w:eastAsia="Times New Roman" w:hAnsi="Times New Roman" w:cs="Times New Roman"/>
          <w:color w:val="000000"/>
          <w:sz w:val="28"/>
          <w:szCs w:val="28"/>
        </w:rPr>
        <w:t>Điều 2</w:t>
      </w:r>
      <w:bookmarkEnd w:id="0"/>
      <w:r w:rsidRPr="00347D1B">
        <w:rPr>
          <w:rFonts w:ascii="Times New Roman" w:eastAsia="Times New Roman" w:hAnsi="Times New Roman" w:cs="Times New Roman"/>
          <w:color w:val="000000"/>
          <w:sz w:val="28"/>
          <w:szCs w:val="28"/>
        </w:rPr>
        <w:t> được sửa đổi, bổ sung như sau:</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b/>
          <w:bCs/>
          <w:color w:val="000000"/>
          <w:sz w:val="28"/>
          <w:szCs w:val="28"/>
        </w:rPr>
        <w:t>“Điều 2. Đối tượng áp dụng</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1. Nghị định này áp dụng đối với cán bộ, công chức, viên chức không giữ chức vụ lãnh đạo, quản lý đang công tác tại các cơ quan, tổ chức, đơn vị sau:</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a) Các Bộ, cơ quan ngang Bộ, cơ quan thuộc Chính phủ;</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b) Văn phòng Chủ tịch nước; Văn phòng Quốc hội; Kiểm toán Nhà nước; Tòa án nhân dân, Viện kiểm sát nhân dân các cấp; Tòa án quân sự, Viện kiểm sát quân sự các cấp;</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c) Hội đồng nhân dân, Ủy ban nhân dân các cấp; các cơ quan chuyên môn thuộc Ủy ban nhân dân cấp tỉnh, cấp huyện;</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d) Các cơ quan của tổ chức chính trị, tổ chức chính trị - xã hội từ cấp xã trở lên;</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lastRenderedPageBreak/>
        <w:t>đ) Các đơn vị sự nghiệp công lập của Đảng, nhà nước và tổ chức chính trị - xã hội;</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e) Các cơ quan, tổ chức, đơn vị thuộc lực lượng vũ trang;</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g) Tổ chức chính trị xã hội - nghề nghiệp, tổ chức xã hội, tổ chức xã hội nghề nghiệp và các cơ quan, tổ chức, đơn vị khác có sử dụng ngân sách, tài sản của nhà nước.</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2. Việc luân chuyển cán bộ, công chức, viên chức giữ chức vụ lãnh đạo, quản lý được thực hiện theo quy định về luân chuyển cán bộ.”.</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2. </w:t>
      </w:r>
      <w:bookmarkStart w:id="1" w:name="dc_2"/>
      <w:r w:rsidRPr="00347D1B">
        <w:rPr>
          <w:rFonts w:ascii="Times New Roman" w:eastAsia="Times New Roman" w:hAnsi="Times New Roman" w:cs="Times New Roman"/>
          <w:color w:val="000000"/>
          <w:sz w:val="28"/>
          <w:szCs w:val="28"/>
        </w:rPr>
        <w:t>Khoản 1 Điều 3</w:t>
      </w:r>
      <w:bookmarkEnd w:id="1"/>
      <w:r w:rsidRPr="00347D1B">
        <w:rPr>
          <w:rFonts w:ascii="Times New Roman" w:eastAsia="Times New Roman" w:hAnsi="Times New Roman" w:cs="Times New Roman"/>
          <w:color w:val="000000"/>
          <w:sz w:val="28"/>
          <w:szCs w:val="28"/>
        </w:rPr>
        <w:t> được sửa đổi, bổ sung như sau:</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“1. “Định kỳ chuyển đổi vị trí công tác” là việc người đứng đầu cơ quan, tổ chức, đơn vị có thẩm quyền quyết định điều động, bố trí, phân công lại vị trí công tác đối với cán bộ, công chức, viên chức có đủ thời hạn định kỳ chuyển đổi vị trí công tác tại các vị trí trong các lĩnh vực, ngành, nghề quy định tại Nghị định này.”.</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3. Bổ sung Điểm e </w:t>
      </w:r>
      <w:bookmarkStart w:id="2" w:name="dc_3"/>
      <w:r w:rsidRPr="00347D1B">
        <w:rPr>
          <w:rFonts w:ascii="Times New Roman" w:eastAsia="Times New Roman" w:hAnsi="Times New Roman" w:cs="Times New Roman"/>
          <w:color w:val="000000"/>
          <w:sz w:val="28"/>
          <w:szCs w:val="28"/>
        </w:rPr>
        <w:t>Khoản 1 Điều 4</w:t>
      </w:r>
      <w:bookmarkEnd w:id="2"/>
      <w:r w:rsidRPr="00347D1B">
        <w:rPr>
          <w:rFonts w:ascii="Times New Roman" w:eastAsia="Times New Roman" w:hAnsi="Times New Roman" w:cs="Times New Roman"/>
          <w:color w:val="000000"/>
          <w:sz w:val="28"/>
          <w:szCs w:val="28"/>
        </w:rPr>
        <w:t> như sau:</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“e. Việc thực hiện định kỳ chuyển đổi vị trí công tác đối với viên chức ngoài việc thực hiện theo các quy định chung tại Nghị định này còn phải căn cứ vào hợp đồng làm việc đã ký với đơn vị sự nghiệp công lập.”.</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4. </w:t>
      </w:r>
      <w:bookmarkStart w:id="3" w:name="dc_4"/>
      <w:r w:rsidRPr="00347D1B">
        <w:rPr>
          <w:rFonts w:ascii="Times New Roman" w:eastAsia="Times New Roman" w:hAnsi="Times New Roman" w:cs="Times New Roman"/>
          <w:color w:val="000000"/>
          <w:sz w:val="28"/>
          <w:szCs w:val="28"/>
        </w:rPr>
        <w:t>Điều 7 </w:t>
      </w:r>
      <w:bookmarkEnd w:id="3"/>
      <w:r w:rsidRPr="00347D1B">
        <w:rPr>
          <w:rFonts w:ascii="Times New Roman" w:eastAsia="Times New Roman" w:hAnsi="Times New Roman" w:cs="Times New Roman"/>
          <w:color w:val="000000"/>
          <w:sz w:val="28"/>
          <w:szCs w:val="28"/>
        </w:rPr>
        <w:t>được sửa đổi, bổ sung như sau:</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b/>
          <w:bCs/>
          <w:color w:val="000000"/>
          <w:sz w:val="28"/>
          <w:szCs w:val="28"/>
        </w:rPr>
        <w:t>“Điều 7. Thời hạn định kỳ chuyển đổi</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Thời hạn chuyển đổi vị trí công tác là từ 02 năm (đủ 24 tháng) đến 05 năm (đủ 60 tháng) theo đặc thù của từng ngành, lĩnh vực.</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Bộ trưởng, Thủ trưởng cơ quan ngang Bộ, Thủ trưởng cơ quan thuộc Chính phủ và Thủ trưởng các cơ quan quy định tại Điểm b Khoản 1 Điều 2 Nghị định này ban hành văn bản quy định cụ thể thời hạn định kỳ chuyển đổi vị trí công tác thuộc lĩnh vực quản lý nhà nước của Bộ, cơ quan.”.</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5. </w:t>
      </w:r>
      <w:bookmarkStart w:id="4" w:name="dc_5"/>
      <w:r w:rsidRPr="00347D1B">
        <w:rPr>
          <w:rFonts w:ascii="Times New Roman" w:eastAsia="Times New Roman" w:hAnsi="Times New Roman" w:cs="Times New Roman"/>
          <w:color w:val="000000"/>
          <w:sz w:val="28"/>
          <w:szCs w:val="28"/>
        </w:rPr>
        <w:t>Khoản 1 Điều 11</w:t>
      </w:r>
      <w:bookmarkEnd w:id="4"/>
      <w:r w:rsidRPr="00347D1B">
        <w:rPr>
          <w:rFonts w:ascii="Times New Roman" w:eastAsia="Times New Roman" w:hAnsi="Times New Roman" w:cs="Times New Roman"/>
          <w:color w:val="000000"/>
          <w:sz w:val="28"/>
          <w:szCs w:val="28"/>
        </w:rPr>
        <w:t> được sửa đổi, bổ sung như sau:</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“1. Đối với các cơ quan, tổ chức, đơn vị chỉ có một vị trí trong danh mục định kỳ chuyển đổi vị trí công tác, mà vị trí này có yêu cầu chuyên môn, nghiệp vụ khác với các vị trí khác của cơ quan, tổ chức, đơn vị đó thì việc định kỳ chuyển đổi vị trí công tác do người đứng đầu cơ quan, tổ chức, đơn vị sử dụng cán bộ, công chức, viên chức đề nghị với cơ quan có thẩm quyền quản lý cấp trên trực tiếp quyết định chuyển đổi.”.</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b/>
          <w:bCs/>
          <w:color w:val="000000"/>
          <w:sz w:val="28"/>
          <w:szCs w:val="28"/>
        </w:rPr>
        <w:t>Điều 2. Hiệu lực thi hành</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Nghị định này có hiệu lực thi hành kể từ ngày 20 tháng 12 năm 2013.</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b/>
          <w:bCs/>
          <w:color w:val="000000"/>
          <w:sz w:val="28"/>
          <w:szCs w:val="28"/>
        </w:rPr>
        <w:t>Điều 3. Trách nhiệm thi hành</w:t>
      </w:r>
    </w:p>
    <w:p w:rsidR="00347D1B" w:rsidRPr="00347D1B" w:rsidRDefault="00347D1B" w:rsidP="00347D1B">
      <w:pPr>
        <w:shd w:val="clear" w:color="auto" w:fill="FFFFFF"/>
        <w:spacing w:before="120" w:after="0" w:line="187" w:lineRule="atLeast"/>
        <w:ind w:firstLine="630"/>
        <w:jc w:val="both"/>
        <w:rPr>
          <w:rFonts w:ascii="Times New Roman" w:eastAsia="Times New Roman" w:hAnsi="Times New Roman" w:cs="Times New Roman"/>
          <w:color w:val="000000"/>
          <w:sz w:val="28"/>
          <w:szCs w:val="28"/>
        </w:rPr>
      </w:pPr>
      <w:r w:rsidRPr="00347D1B">
        <w:rPr>
          <w:rFonts w:ascii="Times New Roman" w:eastAsia="Times New Roman" w:hAnsi="Times New Roman" w:cs="Times New Roman"/>
          <w:color w:val="000000"/>
          <w:sz w:val="28"/>
          <w:szCs w:val="28"/>
        </w:rPr>
        <w:t>Các Bộ trưởng, Thủ trưởng cơ quan ngang Bộ, Thủ trưởng cơ quan thuộc Chính phủ, Chủ tịch Ủy ban nhân dân tỉnh, thành phố trực thuộc Trung ương và các cơ quan, tổ chức có liên quan chịu trách nhiệm thi hành Nghị định này./.</w:t>
      </w:r>
    </w:p>
    <w:tbl>
      <w:tblPr>
        <w:tblW w:w="0" w:type="auto"/>
        <w:tblCellSpacing w:w="0" w:type="dxa"/>
        <w:shd w:val="clear" w:color="auto" w:fill="FFFFFF"/>
        <w:tblCellMar>
          <w:left w:w="0" w:type="dxa"/>
          <w:right w:w="0" w:type="dxa"/>
        </w:tblCellMar>
        <w:tblLook w:val="04A0"/>
      </w:tblPr>
      <w:tblGrid>
        <w:gridCol w:w="5058"/>
        <w:gridCol w:w="3690"/>
      </w:tblGrid>
      <w:tr w:rsidR="00347D1B" w:rsidRPr="00347D1B" w:rsidTr="00347D1B">
        <w:trPr>
          <w:tblCellSpacing w:w="0" w:type="dxa"/>
        </w:trPr>
        <w:tc>
          <w:tcPr>
            <w:tcW w:w="5058" w:type="dxa"/>
            <w:shd w:val="clear" w:color="auto" w:fill="FFFFFF"/>
            <w:tcMar>
              <w:top w:w="0" w:type="dxa"/>
              <w:left w:w="108" w:type="dxa"/>
              <w:bottom w:w="0" w:type="dxa"/>
              <w:right w:w="108" w:type="dxa"/>
            </w:tcMar>
            <w:hideMark/>
          </w:tcPr>
          <w:p w:rsidR="00347D1B" w:rsidRPr="00347D1B" w:rsidRDefault="00347D1B" w:rsidP="00347D1B">
            <w:pPr>
              <w:spacing w:before="120" w:after="0" w:line="187" w:lineRule="atLeast"/>
              <w:rPr>
                <w:rFonts w:ascii="Times New Roman" w:eastAsia="Times New Roman" w:hAnsi="Times New Roman" w:cs="Times New Roman"/>
                <w:color w:val="000000"/>
                <w:sz w:val="14"/>
                <w:szCs w:val="14"/>
              </w:rPr>
            </w:pPr>
            <w:r w:rsidRPr="00347D1B">
              <w:rPr>
                <w:rFonts w:ascii="Times New Roman" w:eastAsia="Times New Roman" w:hAnsi="Times New Roman" w:cs="Times New Roman"/>
                <w:color w:val="000000"/>
                <w:sz w:val="14"/>
                <w:szCs w:val="14"/>
              </w:rPr>
              <w:lastRenderedPageBreak/>
              <w:t> </w:t>
            </w:r>
            <w:r w:rsidRPr="00347D1B">
              <w:rPr>
                <w:rFonts w:ascii="Times New Roman" w:eastAsia="Times New Roman" w:hAnsi="Times New Roman" w:cs="Times New Roman"/>
                <w:b/>
                <w:bCs/>
                <w:i/>
                <w:iCs/>
                <w:color w:val="000000"/>
                <w:sz w:val="14"/>
                <w:szCs w:val="14"/>
              </w:rPr>
              <w:t> </w:t>
            </w:r>
            <w:r w:rsidRPr="00347D1B">
              <w:rPr>
                <w:rFonts w:ascii="Times New Roman" w:eastAsia="Times New Roman" w:hAnsi="Times New Roman" w:cs="Times New Roman"/>
                <w:b/>
                <w:bCs/>
                <w:i/>
                <w:iCs/>
                <w:color w:val="000000"/>
                <w:sz w:val="24"/>
                <w:szCs w:val="24"/>
              </w:rPr>
              <w:t>Nơi nhận:</w:t>
            </w:r>
            <w:r w:rsidRPr="00347D1B">
              <w:rPr>
                <w:rFonts w:ascii="Times New Roman" w:eastAsia="Times New Roman" w:hAnsi="Times New Roman" w:cs="Times New Roman"/>
                <w:color w:val="000000"/>
                <w:sz w:val="24"/>
                <w:szCs w:val="24"/>
              </w:rPr>
              <w:br/>
            </w:r>
            <w:r w:rsidRPr="00347D1B">
              <w:rPr>
                <w:rFonts w:ascii="Times New Roman" w:eastAsia="Times New Roman" w:hAnsi="Times New Roman" w:cs="Times New Roman"/>
                <w:color w:val="000000"/>
              </w:rPr>
              <w:t>- Ban Bí thư Trung ương Đảng;</w:t>
            </w:r>
            <w:r w:rsidRPr="00347D1B">
              <w:rPr>
                <w:rFonts w:ascii="Times New Roman" w:eastAsia="Times New Roman" w:hAnsi="Times New Roman" w:cs="Times New Roman"/>
                <w:color w:val="000000"/>
              </w:rPr>
              <w:br/>
              <w:t>- Thủ tướng, các Phó Thủ tướng Chính phủ;</w:t>
            </w:r>
            <w:r w:rsidRPr="00347D1B">
              <w:rPr>
                <w:rFonts w:ascii="Times New Roman" w:eastAsia="Times New Roman" w:hAnsi="Times New Roman" w:cs="Times New Roman"/>
                <w:color w:val="000000"/>
              </w:rPr>
              <w:br/>
              <w:t>- Các Bộ, cơ quan ngang Bộ, cơ quan thuộc CP;</w:t>
            </w:r>
            <w:r w:rsidRPr="00347D1B">
              <w:rPr>
                <w:rFonts w:ascii="Times New Roman" w:eastAsia="Times New Roman" w:hAnsi="Times New Roman" w:cs="Times New Roman"/>
                <w:color w:val="000000"/>
              </w:rPr>
              <w:br/>
              <w:t>- HĐND, UBND các tỉnh, thành phố trực thuộc TW;</w:t>
            </w:r>
            <w:r w:rsidRPr="00347D1B">
              <w:rPr>
                <w:rFonts w:ascii="Times New Roman" w:eastAsia="Times New Roman" w:hAnsi="Times New Roman" w:cs="Times New Roman"/>
                <w:color w:val="000000"/>
              </w:rPr>
              <w:br/>
              <w:t>- Văn phòng Trung ương và các Ban của Đảng;</w:t>
            </w:r>
            <w:r w:rsidRPr="00347D1B">
              <w:rPr>
                <w:rFonts w:ascii="Times New Roman" w:eastAsia="Times New Roman" w:hAnsi="Times New Roman" w:cs="Times New Roman"/>
                <w:color w:val="000000"/>
              </w:rPr>
              <w:br/>
              <w:t>- Văn phòng Tổng Bí thư;</w:t>
            </w:r>
            <w:r w:rsidRPr="00347D1B">
              <w:rPr>
                <w:rFonts w:ascii="Times New Roman" w:eastAsia="Times New Roman" w:hAnsi="Times New Roman" w:cs="Times New Roman"/>
                <w:color w:val="000000"/>
              </w:rPr>
              <w:br/>
              <w:t>- Văn phòng Chủ tịch nước;</w:t>
            </w:r>
            <w:r w:rsidRPr="00347D1B">
              <w:rPr>
                <w:rFonts w:ascii="Times New Roman" w:eastAsia="Times New Roman" w:hAnsi="Times New Roman" w:cs="Times New Roman"/>
                <w:color w:val="000000"/>
              </w:rPr>
              <w:br/>
              <w:t>- Văn phòng Quốc hội;</w:t>
            </w:r>
            <w:r w:rsidRPr="00347D1B">
              <w:rPr>
                <w:rFonts w:ascii="Times New Roman" w:eastAsia="Times New Roman" w:hAnsi="Times New Roman" w:cs="Times New Roman"/>
                <w:color w:val="000000"/>
              </w:rPr>
              <w:br/>
              <w:t>- Hội đồng Dân tộc và các Ủy ban của Quốc hội;</w:t>
            </w:r>
            <w:r w:rsidRPr="00347D1B">
              <w:rPr>
                <w:rFonts w:ascii="Times New Roman" w:eastAsia="Times New Roman" w:hAnsi="Times New Roman" w:cs="Times New Roman"/>
                <w:color w:val="000000"/>
              </w:rPr>
              <w:br/>
              <w:t>- Tòa án nhân dân tối cao;</w:t>
            </w:r>
            <w:r w:rsidRPr="00347D1B">
              <w:rPr>
                <w:rFonts w:ascii="Times New Roman" w:eastAsia="Times New Roman" w:hAnsi="Times New Roman" w:cs="Times New Roman"/>
                <w:color w:val="000000"/>
              </w:rPr>
              <w:br/>
              <w:t>- Viện kiểm sát nhân dân tối cao;</w:t>
            </w:r>
            <w:r w:rsidRPr="00347D1B">
              <w:rPr>
                <w:rFonts w:ascii="Times New Roman" w:eastAsia="Times New Roman" w:hAnsi="Times New Roman" w:cs="Times New Roman"/>
                <w:color w:val="000000"/>
              </w:rPr>
              <w:br/>
              <w:t>- Kiểm toán Nhà nước;</w:t>
            </w:r>
            <w:r w:rsidRPr="00347D1B">
              <w:rPr>
                <w:rFonts w:ascii="Times New Roman" w:eastAsia="Times New Roman" w:hAnsi="Times New Roman" w:cs="Times New Roman"/>
                <w:color w:val="000000"/>
              </w:rPr>
              <w:br/>
              <w:t>- Ủy ban Giám sát tài chính Quốc gia;</w:t>
            </w:r>
            <w:r w:rsidRPr="00347D1B">
              <w:rPr>
                <w:rFonts w:ascii="Times New Roman" w:eastAsia="Times New Roman" w:hAnsi="Times New Roman" w:cs="Times New Roman"/>
                <w:color w:val="000000"/>
              </w:rPr>
              <w:br/>
              <w:t>- Ngân hàng Chính sách Xã hội;</w:t>
            </w:r>
            <w:r w:rsidRPr="00347D1B">
              <w:rPr>
                <w:rFonts w:ascii="Times New Roman" w:eastAsia="Times New Roman" w:hAnsi="Times New Roman" w:cs="Times New Roman"/>
                <w:color w:val="000000"/>
              </w:rPr>
              <w:br/>
              <w:t>- Ngân hàng Phát triển Việt Nam;</w:t>
            </w:r>
            <w:r w:rsidRPr="00347D1B">
              <w:rPr>
                <w:rFonts w:ascii="Times New Roman" w:eastAsia="Times New Roman" w:hAnsi="Times New Roman" w:cs="Times New Roman"/>
                <w:color w:val="000000"/>
              </w:rPr>
              <w:br/>
              <w:t>- UBTW Mặt trận Tổ quốc Việt Nam;</w:t>
            </w:r>
            <w:r w:rsidRPr="00347D1B">
              <w:rPr>
                <w:rFonts w:ascii="Times New Roman" w:eastAsia="Times New Roman" w:hAnsi="Times New Roman" w:cs="Times New Roman"/>
                <w:color w:val="000000"/>
              </w:rPr>
              <w:br/>
              <w:t>- Cơ quan Trung ương của các đoàn thể;</w:t>
            </w:r>
            <w:r w:rsidRPr="00347D1B">
              <w:rPr>
                <w:rFonts w:ascii="Times New Roman" w:eastAsia="Times New Roman" w:hAnsi="Times New Roman" w:cs="Times New Roman"/>
                <w:color w:val="000000"/>
              </w:rPr>
              <w:br/>
              <w:t>- VPCP: BTCN, các PCN, Trợ lý TTCP, Cổng TTĐT, các Vụ, Cục, đơn vị trực thuộc, Công báo;</w:t>
            </w:r>
            <w:r w:rsidRPr="00347D1B">
              <w:rPr>
                <w:rFonts w:ascii="Times New Roman" w:eastAsia="Times New Roman" w:hAnsi="Times New Roman" w:cs="Times New Roman"/>
                <w:color w:val="000000"/>
              </w:rPr>
              <w:br/>
              <w:t>- Lưu: Văn thư, TCCV (3b).300</w:t>
            </w:r>
          </w:p>
        </w:tc>
        <w:tc>
          <w:tcPr>
            <w:tcW w:w="3690" w:type="dxa"/>
            <w:shd w:val="clear" w:color="auto" w:fill="FFFFFF"/>
            <w:tcMar>
              <w:top w:w="0" w:type="dxa"/>
              <w:left w:w="108" w:type="dxa"/>
              <w:bottom w:w="0" w:type="dxa"/>
              <w:right w:w="108" w:type="dxa"/>
            </w:tcMar>
            <w:hideMark/>
          </w:tcPr>
          <w:p w:rsidR="00347D1B" w:rsidRPr="00347D1B" w:rsidRDefault="00347D1B" w:rsidP="00347D1B">
            <w:pPr>
              <w:spacing w:before="120" w:after="0" w:line="187" w:lineRule="atLeast"/>
              <w:jc w:val="center"/>
              <w:rPr>
                <w:rFonts w:ascii="Times New Roman" w:eastAsia="Times New Roman" w:hAnsi="Times New Roman" w:cs="Times New Roman"/>
                <w:color w:val="000000"/>
                <w:sz w:val="28"/>
                <w:szCs w:val="28"/>
              </w:rPr>
            </w:pPr>
            <w:r w:rsidRPr="00347D1B">
              <w:rPr>
                <w:rFonts w:ascii="Times New Roman" w:eastAsia="Times New Roman" w:hAnsi="Times New Roman" w:cs="Times New Roman"/>
                <w:b/>
                <w:bCs/>
                <w:color w:val="000000"/>
                <w:sz w:val="28"/>
                <w:szCs w:val="28"/>
              </w:rPr>
              <w:t>TM. CHÍNH PHỦ</w:t>
            </w:r>
            <w:r w:rsidRPr="00347D1B">
              <w:rPr>
                <w:rFonts w:ascii="Times New Roman" w:eastAsia="Times New Roman" w:hAnsi="Times New Roman" w:cs="Times New Roman"/>
                <w:b/>
                <w:bCs/>
                <w:color w:val="000000"/>
                <w:sz w:val="28"/>
                <w:szCs w:val="28"/>
              </w:rPr>
              <w:br/>
              <w:t>THỦ TƯỚNG</w:t>
            </w:r>
            <w:r w:rsidRPr="00347D1B">
              <w:rPr>
                <w:rFonts w:ascii="Times New Roman" w:eastAsia="Times New Roman" w:hAnsi="Times New Roman" w:cs="Times New Roman"/>
                <w:b/>
                <w:bCs/>
                <w:color w:val="000000"/>
                <w:sz w:val="28"/>
                <w:szCs w:val="28"/>
              </w:rPr>
              <w:br/>
            </w:r>
            <w:r w:rsidRPr="00347D1B">
              <w:rPr>
                <w:rFonts w:ascii="Times New Roman" w:eastAsia="Times New Roman" w:hAnsi="Times New Roman" w:cs="Times New Roman"/>
                <w:b/>
                <w:bCs/>
                <w:color w:val="000000"/>
                <w:sz w:val="28"/>
                <w:szCs w:val="28"/>
              </w:rPr>
              <w:br/>
            </w:r>
            <w:r w:rsidRPr="00347D1B">
              <w:rPr>
                <w:rFonts w:ascii="Times New Roman" w:eastAsia="Times New Roman" w:hAnsi="Times New Roman" w:cs="Times New Roman"/>
                <w:b/>
                <w:bCs/>
                <w:color w:val="000000"/>
                <w:sz w:val="28"/>
                <w:szCs w:val="28"/>
              </w:rPr>
              <w:br/>
            </w:r>
            <w:r w:rsidRPr="00347D1B">
              <w:rPr>
                <w:rFonts w:ascii="Times New Roman" w:eastAsia="Times New Roman" w:hAnsi="Times New Roman" w:cs="Times New Roman"/>
                <w:b/>
                <w:bCs/>
                <w:color w:val="000000"/>
                <w:sz w:val="28"/>
                <w:szCs w:val="28"/>
              </w:rPr>
              <w:br/>
            </w:r>
            <w:r w:rsidRPr="00347D1B">
              <w:rPr>
                <w:rFonts w:ascii="Times New Roman" w:eastAsia="Times New Roman" w:hAnsi="Times New Roman" w:cs="Times New Roman"/>
                <w:b/>
                <w:bCs/>
                <w:color w:val="000000"/>
                <w:sz w:val="28"/>
                <w:szCs w:val="28"/>
              </w:rPr>
              <w:br/>
              <w:t>Nguyễn Tấn Dũng</w:t>
            </w:r>
          </w:p>
        </w:tc>
      </w:tr>
    </w:tbl>
    <w:p w:rsidR="00781B07" w:rsidRPr="00347D1B" w:rsidRDefault="00781B07">
      <w:pPr>
        <w:rPr>
          <w:rFonts w:ascii="Times New Roman" w:hAnsi="Times New Roman" w:cs="Times New Roman"/>
        </w:rPr>
      </w:pPr>
    </w:p>
    <w:sectPr w:rsidR="00781B07" w:rsidRPr="00347D1B" w:rsidSect="00347D1B">
      <w:pgSz w:w="11909" w:h="16834" w:code="9"/>
      <w:pgMar w:top="1080" w:right="1019" w:bottom="1080" w:left="18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20"/>
  <w:drawingGridHorizontalSpacing w:val="110"/>
  <w:displayHorizontalDrawingGridEvery w:val="2"/>
  <w:displayVerticalDrawingGridEvery w:val="2"/>
  <w:characterSpacingControl w:val="doNotCompress"/>
  <w:compat/>
  <w:rsids>
    <w:rsidRoot w:val="00347D1B"/>
    <w:rsid w:val="00235F56"/>
    <w:rsid w:val="00347D1B"/>
    <w:rsid w:val="004C16D0"/>
    <w:rsid w:val="00554AC5"/>
    <w:rsid w:val="00781B07"/>
    <w:rsid w:val="007F69A3"/>
    <w:rsid w:val="00F729FA"/>
    <w:rsid w:val="00FF1D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B0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47D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47D1B"/>
  </w:style>
  <w:style w:type="character" w:styleId="Hyperlink">
    <w:name w:val="Hyperlink"/>
    <w:basedOn w:val="DefaultParagraphFont"/>
    <w:uiPriority w:val="99"/>
    <w:semiHidden/>
    <w:unhideWhenUsed/>
    <w:rsid w:val="00347D1B"/>
    <w:rPr>
      <w:color w:val="0000FF"/>
      <w:u w:val="single"/>
    </w:rPr>
  </w:style>
</w:styles>
</file>

<file path=word/webSettings.xml><?xml version="1.0" encoding="utf-8"?>
<w:webSettings xmlns:r="http://schemas.openxmlformats.org/officeDocument/2006/relationships" xmlns:w="http://schemas.openxmlformats.org/wordprocessingml/2006/main">
  <w:divs>
    <w:div w:id="131984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huvienphapluat.vn/phap-luat/tim-van-ban.aspx?keyword=158/2007/N%C4%90-CP&amp;area=2&amp;type=0&amp;match=False&amp;vc=True&amp;lan=1" TargetMode="External"/><Relationship Id="rId5" Type="http://schemas.openxmlformats.org/officeDocument/2006/relationships/hyperlink" Target="http://thuvienphapluat.vn/phap-luat/tim-van-ban.aspx?keyword=158/2007/N%C4%90-CP&amp;area=2&amp;type=0&amp;match=False&amp;vc=True&amp;lan=1" TargetMode="External"/><Relationship Id="rId4" Type="http://schemas.openxmlformats.org/officeDocument/2006/relationships/hyperlink" Target="http://thuvienphapluat.vn/phap-luat/tim-van-ban.aspx?keyword=158/2007/N%C4%90-CP&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812</Words>
  <Characters>4629</Characters>
  <Application>Microsoft Office Word</Application>
  <DocSecurity>0</DocSecurity>
  <Lines>38</Lines>
  <Paragraphs>10</Paragraphs>
  <ScaleCrop>false</ScaleCrop>
  <Company/>
  <LinksUpToDate>false</LinksUpToDate>
  <CharactersWithSpaces>5431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1</cp:revision>
  <dcterms:created xsi:type="dcterms:W3CDTF">2015-11-20T02:42:00Z</dcterms:created>
  <dcterms:modified xsi:type="dcterms:W3CDTF">2015-11-20T02:47:00Z</dcterms:modified>
</cp:coreProperties>
</file>